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258"/>
        <w:gridCol w:w="7758"/>
        <w:tblGridChange w:id="0">
          <w:tblGrid>
            <w:gridCol w:w="3258"/>
            <w:gridCol w:w="775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Students will demonstrate the ability to practice health-enhancing behaviors and avoid or reduce health risks.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Research confirms that practicing health-enhancing behaviors can contribute to a positive quality of life. In addition, many diseases and injuries can be prevented by reducing harmful and risk-taking behaviors. This standard promotes the acceptance of personal responsibility for health and encourages the practice of healthy behaviors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1f497d" w:val="clea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Big Ideas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What enduring understandings are essential for application to new situations within or beyond this content?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ability to manage oneself includes accepting personal responsibility for health and utilizing practices that avoid or reduce health risks. There are two core components to mastering the skill of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Self-Management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The first core component focuses on the demonstration of specific health practices, behaviors, techniques, strategies, and actions. These skills are wide-ranging across the following health areas: physical and personal wellness, emotional and social wellness, and prevention and risk management. The second core component of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Self-Management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focuses on taking personal responsibility for one’s own health and includes being able to identify, self-monitor, reflect, and apply health practices, behaviors, techniques, strategies, and actions in daily life.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Essential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What questions will provoke and sustain student engagement while focusing learning?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• What is a habit?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• What is a habit you wish you could change?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• How do you change a bad habit?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• How do you start a good habit?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• What does self-management mean?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• Why do I have to take responsibility for myself?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• Why is an intention helpful when starting to learn a new habit?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Power Standards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Which standards provide endurance beyond the course, leverage across multiple disciplines, and readiness for the next level?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7.2.1        Demonstrate healthy practices and behaviors to maintain or improve personal health.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7.2.2        Demonstrate behaviors that avoid or reduce health risks.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Supporting Standards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Which related standards will be incorporated to support and enhance the enduring standards?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color w:val="0070c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Essential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What vocabulary must students know to understand and communicate effectively about this content?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habit, skill, personal responsibility, self- management, intention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Cross Curriculum Connections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Are there opportunities to make connections to other disciplines (standards and curriculum programs)?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• Physical Education: Use the self-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management skill to improve on a physical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education skill, catching, passing, or 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specific motor skill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• Language Arts: Reading stories about others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who changed a behavior.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• General Education: Practicing school skills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like reading, math facts, homework, spelling--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without parent reminding them.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• Independent center time--staying on task,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following rules, completing work, doing your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best.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• Use self-management model to improve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personal space, walking down halls,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interacting with others, voice level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Assessing Learning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How will you know when students have learned?  How do you know students have successfully met the learning intention?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Mastery of self-management grades PK-2 is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demonstrated when students are able to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perform a health enhancing skill independently.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Instructional Strategies and Other Resources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ETR-  Health Smart Curriculum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Colorado Education Initiative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http://www.coloradoedinitiative.org/resources/chpe/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RMC Health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http://www.rmc.org/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Colorado Department of Education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http://www.cde.state.co.us/cohealthpe/statestandards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**Each Unit Framework guides planning and delivery of instruction.  An Instructional Planning Companion tool to guide instructional planning (Unit/Lesson Plans) can be found on the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Curriculum Platform.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400"/>
        <w:tab w:val="right" w:pos="10800"/>
      </w:tabs>
      <w:rPr>
        <w:rFonts w:ascii="Century Gothic" w:cs="Century Gothic" w:eastAsia="Century Gothic" w:hAnsi="Century Gothic"/>
        <w:color w:val="000000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16"/>
        <w:szCs w:val="16"/>
        <w:rtl w:val="0"/>
      </w:rPr>
      <w:t xml:space="preserve">Teaching and Learning</w:t>
      <w:tab/>
      <w:t xml:space="preserve">Revised 2020</w:t>
      <w:tab/>
      <w:t xml:space="preserve">Page </w:t>
    </w:r>
    <w:r w:rsidDel="00000000" w:rsidR="00000000" w:rsidRPr="00000000">
      <w:rPr>
        <w:rFonts w:ascii="Century Gothic" w:cs="Century Gothic" w:eastAsia="Century Gothic" w:hAnsi="Century Gothic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color w:val="000000"/>
        <w:sz w:val="16"/>
        <w:szCs w:val="16"/>
        <w:rtl w:val="0"/>
      </w:rPr>
      <w:t xml:space="preserve"> of </w:t>
    </w:r>
    <w:r w:rsidDel="00000000" w:rsidR="00000000" w:rsidRPr="00000000">
      <w:rPr>
        <w:rFonts w:ascii="Century Gothic" w:cs="Century Gothic" w:eastAsia="Century Gothic" w:hAnsi="Century Gothic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tabs>
        <w:tab w:val="center" w:pos="4680"/>
        <w:tab w:val="right" w:pos="9360"/>
      </w:tabs>
      <w:spacing w:after="0" w:lineRule="auto"/>
      <w:jc w:val="center"/>
      <w:rPr>
        <w:rFonts w:ascii="Century Gothic" w:cs="Century Gothic" w:eastAsia="Century Gothic" w:hAnsi="Century Gothic"/>
        <w:b w:val="1"/>
        <w:color w:val="000000"/>
        <w:sz w:val="32"/>
        <w:szCs w:val="32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00000"/>
        <w:sz w:val="32"/>
        <w:szCs w:val="32"/>
        <w:rtl w:val="0"/>
      </w:rPr>
      <w:t xml:space="preserve">FAYETTE COUNTY PUBLIC SCHOOLS</w:t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tabs>
        <w:tab w:val="center" w:pos="4680"/>
        <w:tab w:val="right" w:pos="9360"/>
      </w:tabs>
      <w:jc w:val="center"/>
      <w:rPr>
        <w:rFonts w:ascii="Century Gothic" w:cs="Century Gothic" w:eastAsia="Century Gothic" w:hAnsi="Century Gothic"/>
        <w:color w:val="000000"/>
        <w:sz w:val="32"/>
        <w:szCs w:val="32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32"/>
        <w:szCs w:val="32"/>
        <w:rtl w:val="0"/>
      </w:rPr>
      <w:t xml:space="preserve">Unit Framework for (</w:t>
    </w:r>
    <w:r w:rsidDel="00000000" w:rsidR="00000000" w:rsidRPr="00000000">
      <w:rPr>
        <w:rFonts w:ascii="Century Gothic" w:cs="Century Gothic" w:eastAsia="Century Gothic" w:hAnsi="Century Gothic"/>
        <w:sz w:val="32"/>
        <w:szCs w:val="32"/>
        <w:rtl w:val="0"/>
      </w:rPr>
      <w:t xml:space="preserve">K-12 Health Education</w:t>
    </w:r>
    <w:r w:rsidDel="00000000" w:rsidR="00000000" w:rsidRPr="00000000">
      <w:rPr>
        <w:rFonts w:ascii="Century Gothic" w:cs="Century Gothic" w:eastAsia="Century Gothic" w:hAnsi="Century Gothic"/>
        <w:color w:val="000000"/>
        <w:sz w:val="32"/>
        <w:szCs w:val="32"/>
        <w:rtl w:val="0"/>
      </w:rPr>
      <w:t xml:space="preserve">) – Grade or Course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