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demonstrate the ability to use decision-making skills to enhance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sz w:val="24"/>
                <w:szCs w:val="24"/>
              </w:rPr>
            </w:pPr>
            <w:r w:rsidDel="00000000" w:rsidR="00000000" w:rsidRPr="00000000">
              <w:rPr>
                <w:rFonts w:ascii="Arial" w:cs="Arial" w:eastAsia="Arial" w:hAnsi="Arial"/>
                <w:sz w:val="24"/>
                <w:szCs w:val="24"/>
                <w:rtl w:val="0"/>
              </w:rPr>
              <w:t xml:space="preserve">Decision-making skills are needed to identify, implement, and sustain health-enhancing behaviors. This standard includes the essential steps that are needed to make healthy decisions as prescribed in the performance indicators. When applied to health issues, the decision-making process enables individuals to collaborate with others to improve their quality of life.</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health skill, </w:t>
            </w:r>
            <w:r w:rsidDel="00000000" w:rsidR="00000000" w:rsidRPr="00000000">
              <w:rPr>
                <w:rFonts w:ascii="Arial" w:cs="Arial" w:eastAsia="Arial" w:hAnsi="Arial"/>
                <w:i w:val="1"/>
                <w:sz w:val="24"/>
                <w:szCs w:val="24"/>
                <w:rtl w:val="0"/>
              </w:rPr>
              <w:t xml:space="preserve">Decision-Making</w:t>
            </w:r>
            <w:r w:rsidDel="00000000" w:rsidR="00000000" w:rsidRPr="00000000">
              <w:rPr>
                <w:rFonts w:ascii="Arial" w:cs="Arial" w:eastAsia="Arial" w:hAnsi="Arial"/>
                <w:sz w:val="24"/>
                <w:szCs w:val="24"/>
                <w:rtl w:val="0"/>
              </w:rPr>
              <w:t xml:space="preserve">, focuses on the fact that people make decisions everyday. When applied to health, the steps in this health skill model give students the ability to make decisions individually, or collaboratively, to improve their quality of life. The health skill also allows students to make important decisions that require a thoughtful decision-making process outside of high-risk and high-stake contexts, increasing the likelihood of making healthy choices when facing potentially unhealthy situations. Mastery of </w:t>
            </w:r>
            <w:r w:rsidDel="00000000" w:rsidR="00000000" w:rsidRPr="00000000">
              <w:rPr>
                <w:rFonts w:ascii="Arial" w:cs="Arial" w:eastAsia="Arial" w:hAnsi="Arial"/>
                <w:i w:val="1"/>
                <w:sz w:val="24"/>
                <w:szCs w:val="24"/>
                <w:rtl w:val="0"/>
              </w:rPr>
              <w:t xml:space="preserve">Decision-Making</w:t>
            </w:r>
            <w:r w:rsidDel="00000000" w:rsidR="00000000" w:rsidRPr="00000000">
              <w:rPr>
                <w:rFonts w:ascii="Arial" w:cs="Arial" w:eastAsia="Arial" w:hAnsi="Arial"/>
                <w:sz w:val="24"/>
                <w:szCs w:val="24"/>
                <w:rtl w:val="0"/>
              </w:rPr>
              <w:t xml:space="preserve"> empowers students to work through difficult situations by keeping the impact of the decision on their health in mind.</w:t>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PK-2 model has four steps. Students are able to identify a situation when a decision needs to be made. Students determine if help is needed to make the decision. Finally they make a decision and describe the outcome.</w:t>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00B">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C">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D">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Students have to make decisions in the classroom all the time. Teachers should introduce this skill throughout the day by</w:t>
            </w:r>
          </w:p>
          <w:p w:rsidR="00000000" w:rsidDel="00000000" w:rsidP="00000000" w:rsidRDefault="00000000" w:rsidRPr="00000000" w14:paraId="0000000E">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giving students opportunities to make their own decisions. For example:</w:t>
            </w:r>
          </w:p>
          <w:p w:rsidR="00000000" w:rsidDel="00000000" w:rsidP="00000000" w:rsidRDefault="00000000" w:rsidRPr="00000000" w14:paraId="0000000F">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Are you going to wear a coat at recess</w:t>
            </w:r>
          </w:p>
          <w:p w:rsidR="00000000" w:rsidDel="00000000" w:rsidP="00000000" w:rsidRDefault="00000000" w:rsidRPr="00000000" w14:paraId="00000010">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or not?</w:t>
            </w:r>
          </w:p>
          <w:p w:rsidR="00000000" w:rsidDel="00000000" w:rsidP="00000000" w:rsidRDefault="00000000" w:rsidRPr="00000000" w14:paraId="00000011">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You can do your work now or at</w:t>
            </w:r>
          </w:p>
          <w:p w:rsidR="00000000" w:rsidDel="00000000" w:rsidP="00000000" w:rsidRDefault="00000000" w:rsidRPr="00000000" w14:paraId="00000012">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individual choice time.</w:t>
            </w:r>
          </w:p>
        </w:tc>
      </w:tr>
      <w:tr>
        <w:tc>
          <w:tcPr>
            <w:shd w:fill="auto" w:val="clear"/>
          </w:tcPr>
          <w:p w:rsidR="00000000" w:rsidDel="00000000" w:rsidP="00000000" w:rsidRDefault="00000000" w:rsidRPr="00000000" w14:paraId="00000013">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4">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5">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5.2.1        Identify situations when a health-related decision is needed.</w:t>
            </w:r>
          </w:p>
          <w:p w:rsidR="00000000" w:rsidDel="00000000" w:rsidP="00000000" w:rsidRDefault="00000000" w:rsidRPr="00000000" w14:paraId="00000016">
            <w:pPr>
              <w:spacing w:after="0" w:lineRule="auto"/>
              <w:rPr>
                <w:rFonts w:ascii="Century Gothic" w:cs="Century Gothic" w:eastAsia="Century Gothic" w:hAnsi="Century Gothic"/>
              </w:rPr>
            </w:pPr>
            <w:r w:rsidDel="00000000" w:rsidR="00000000" w:rsidRPr="00000000">
              <w:rPr>
                <w:rFonts w:ascii="Arial" w:cs="Arial" w:eastAsia="Arial" w:hAnsi="Arial"/>
                <w:sz w:val="26"/>
                <w:szCs w:val="26"/>
                <w:rtl w:val="0"/>
              </w:rPr>
              <w:t xml:space="preserve">5.2.2        Differentiate between situations when a health-related decision can be made individually or when assistance is needed.</w:t>
            </w:r>
            <w:r w:rsidDel="00000000" w:rsidR="00000000" w:rsidRPr="00000000">
              <w:rPr>
                <w:rtl w:val="0"/>
              </w:rPr>
            </w:r>
          </w:p>
          <w:p w:rsidR="00000000" w:rsidDel="00000000" w:rsidP="00000000" w:rsidRDefault="00000000" w:rsidRPr="00000000" w14:paraId="00000017">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pacing w:after="0" w:lineRule="auto"/>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9">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A">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C">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D">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Vocabulary: decision, trusted adult, positive decision, negative decision, outcome</w:t>
            </w:r>
            <w:r w:rsidDel="00000000" w:rsidR="00000000" w:rsidRPr="00000000">
              <w:rPr>
                <w:rtl w:val="0"/>
              </w:rPr>
            </w:r>
          </w:p>
        </w:tc>
      </w:tr>
      <w:tr>
        <w:tc>
          <w:tcPr>
            <w:shd w:fill="auto" w:val="clear"/>
          </w:tcPr>
          <w:p w:rsidR="00000000" w:rsidDel="00000000" w:rsidP="00000000" w:rsidRDefault="00000000" w:rsidRPr="00000000" w14:paraId="0000001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2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your students are not yet reading, then the use of pictures, stories, or other verbal examples that model various situations can be used.</w:t>
            </w:r>
          </w:p>
        </w:tc>
      </w:tr>
      <w:tr>
        <w:tc>
          <w:tcPr>
            <w:tcBorders>
              <w:bottom w:color="000000" w:space="0" w:sz="12" w:val="single"/>
            </w:tcBorders>
            <w:shd w:fill="auto" w:val="clear"/>
          </w:tcPr>
          <w:p w:rsidR="00000000" w:rsidDel="00000000" w:rsidP="00000000" w:rsidRDefault="00000000" w:rsidRPr="00000000" w14:paraId="00000022">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23">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PK-2 students should be able to identify situations where a decision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needs to be made. Students will be able to determine if the decision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be made individually or with the assistance of a trusted adult.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will also be able to choose an appropriate trusted adult.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Finally, when simple decisions can be made on their own, they need to act on those decisions and be able to describe the reasons why the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decision was either positive or negative.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2B">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2C">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0">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32">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