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comprehend concepts related to health promotion and disease prevention to enhance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rPr>
            </w:pPr>
            <w:r w:rsidDel="00000000" w:rsidR="00000000" w:rsidRPr="00000000">
              <w:rPr>
                <w:rFonts w:ascii="Arial" w:cs="Arial" w:eastAsia="Arial" w:hAnsi="Arial"/>
                <w:sz w:val="26"/>
                <w:szCs w:val="26"/>
                <w:rtl w:val="0"/>
              </w:rPr>
              <w:t xml:space="preserve">The acquisition of basic health concepts and functional health knowledge provides a foundation for promoting health-enhancing behaviors among youth. This standard includes essential concepts that are based on established health behavior theories and models. Concepts that focus on both health promotion and risk reduction are included in the performance indicators.</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Healthy Behavior Outcomes in  each of 9 health content areas: • Mental &amp; Emotional Health • Personal Health &amp; Wellness • Safety/Injury Prevention • Violence Prevention • Healthy Eating • Physical Activity • Alcohol &amp; Other Drugs • Tobacco • Sexual Health </w:t>
            </w:r>
          </w:p>
        </w:tc>
      </w:tr>
      <w:tr>
        <w:tc>
          <w:tcPr>
            <w:shd w:fill="auto" w:val="clear"/>
          </w:tcPr>
          <w:p w:rsidR="00000000" w:rsidDel="00000000" w:rsidP="00000000" w:rsidRDefault="00000000" w:rsidRPr="00000000" w14:paraId="00000009">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A">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B">
            <w:pPr>
              <w:spacing w:after="0" w:lineRule="auto"/>
              <w:rPr>
                <w:rFonts w:ascii="Century Gothic" w:cs="Century Gothic" w:eastAsia="Century Gothic" w:hAnsi="Century Gothic"/>
                <w:i w:val="1"/>
              </w:rPr>
            </w:pPr>
            <w:r w:rsidDel="00000000" w:rsidR="00000000" w:rsidRPr="00000000">
              <w:rPr>
                <w:rtl w:val="0"/>
              </w:rPr>
            </w:r>
          </w:p>
        </w:tc>
      </w:tr>
      <w:tr>
        <w:tc>
          <w:tcPr>
            <w:shd w:fill="auto" w:val="clear"/>
          </w:tcPr>
          <w:p w:rsidR="00000000" w:rsidDel="00000000" w:rsidP="00000000" w:rsidRDefault="00000000" w:rsidRPr="00000000" w14:paraId="0000000C">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0D">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1.5.1        Describe the relationship between healthy behaviors and personal health.</w:t>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1.5.2        Identify examples of emotional, intellectual, physical, and social health.</w:t>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1.5.3        Describe ways in which safe and healthy school and community environments can promote personal health.</w:t>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1.5.4        Describe ways to prevent common childhood injuries and health problems.</w:t>
            </w:r>
          </w:p>
          <w:p w:rsidR="00000000" w:rsidDel="00000000" w:rsidP="00000000" w:rsidRDefault="00000000" w:rsidRPr="00000000" w14:paraId="00000012">
            <w:pPr>
              <w:spacing w:after="0" w:lineRule="auto"/>
              <w:rPr>
                <w:rFonts w:ascii="Century Gothic" w:cs="Century Gothic" w:eastAsia="Century Gothic" w:hAnsi="Century Gothic"/>
                <w:sz w:val="24"/>
                <w:szCs w:val="24"/>
              </w:rPr>
            </w:pPr>
            <w:r w:rsidDel="00000000" w:rsidR="00000000" w:rsidRPr="00000000">
              <w:rPr>
                <w:rFonts w:ascii="Arial" w:cs="Arial" w:eastAsia="Arial" w:hAnsi="Arial"/>
                <w:sz w:val="24"/>
                <w:szCs w:val="24"/>
                <w:rtl w:val="0"/>
              </w:rPr>
              <w:t xml:space="preserve">1.5.5        Describe when it is important to seek health care.</w:t>
            </w:r>
            <w:r w:rsidDel="00000000" w:rsidR="00000000" w:rsidRPr="00000000">
              <w:rPr>
                <w:rtl w:val="0"/>
              </w:rPr>
            </w:r>
          </w:p>
          <w:p w:rsidR="00000000" w:rsidDel="00000000" w:rsidP="00000000" w:rsidRDefault="00000000" w:rsidRPr="00000000" w14:paraId="00000013">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6">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7">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9">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A">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C">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1D">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1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2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24">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25">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29">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2B">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