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pse" w:cs="Copse" w:eastAsia="Copse" w:hAnsi="Copse"/>
          <w:sz w:val="32"/>
          <w:szCs w:val="32"/>
        </w:rPr>
      </w:pPr>
      <w:r w:rsidDel="00000000" w:rsidR="00000000" w:rsidRPr="00000000">
        <w:rPr>
          <w:rFonts w:ascii="Copse" w:cs="Copse" w:eastAsia="Copse" w:hAnsi="Copse"/>
          <w:sz w:val="32"/>
          <w:szCs w:val="32"/>
          <w:rtl w:val="0"/>
        </w:rPr>
        <w:t xml:space="preserve">Progress Builds and the Assessment System</w:t>
      </w:r>
    </w:p>
    <w:p w:rsidR="00000000" w:rsidDel="00000000" w:rsidP="00000000" w:rsidRDefault="00000000" w:rsidRPr="00000000" w14:paraId="00000002">
      <w:pPr>
        <w:jc w:val="center"/>
        <w:rPr>
          <w:rFonts w:ascii="Copse" w:cs="Copse" w:eastAsia="Copse" w:hAnsi="Copse"/>
          <w:sz w:val="28"/>
          <w:szCs w:val="28"/>
        </w:rPr>
      </w:pPr>
      <w:r w:rsidDel="00000000" w:rsidR="00000000" w:rsidRPr="00000000">
        <w:rPr>
          <w:rFonts w:ascii="Copse" w:cs="Copse" w:eastAsia="Copse" w:hAnsi="Copse"/>
          <w:sz w:val="32"/>
          <w:szCs w:val="32"/>
          <w:rtl w:val="0"/>
        </w:rPr>
        <w:t xml:space="preserve">Participant Pages to Accompany the Part 1 Video</w:t>
      </w:r>
      <w:r w:rsidDel="00000000" w:rsidR="00000000" w:rsidRPr="00000000">
        <w:rPr>
          <w:rtl w:val="0"/>
        </w:rPr>
      </w:r>
    </w:p>
    <w:p w:rsidR="00000000" w:rsidDel="00000000" w:rsidP="00000000" w:rsidRDefault="00000000" w:rsidRPr="00000000" w14:paraId="00000003">
      <w:pPr>
        <w:rPr>
          <w:rFonts w:ascii="Copse" w:cs="Copse" w:eastAsia="Copse" w:hAnsi="Copse"/>
          <w:sz w:val="20"/>
          <w:szCs w:val="20"/>
        </w:rPr>
      </w:pPr>
      <w:r w:rsidDel="00000000" w:rsidR="00000000" w:rsidRPr="00000000">
        <w:rPr>
          <w:rFonts w:ascii="Copse" w:cs="Copse" w:eastAsia="Copse" w:hAnsi="Copse"/>
          <w:sz w:val="20"/>
          <w:szCs w:val="20"/>
          <w:rtl w:val="0"/>
        </w:rPr>
        <w:t xml:space="preserve">Open the Progress Build document.  Complete this graphic organizer to internalize the ideas and reflect on how the levels are connected.</w:t>
      </w:r>
    </w:p>
    <w:p w:rsidR="00000000" w:rsidDel="00000000" w:rsidP="00000000" w:rsidRDefault="00000000" w:rsidRPr="00000000" w14:paraId="00000004">
      <w:pPr>
        <w:numPr>
          <w:ilvl w:val="0"/>
          <w:numId w:val="1"/>
        </w:numPr>
        <w:ind w:left="720" w:hanging="360"/>
        <w:rPr>
          <w:rFonts w:ascii="Copse" w:cs="Copse" w:eastAsia="Copse" w:hAnsi="Copse"/>
          <w:sz w:val="20"/>
          <w:szCs w:val="20"/>
        </w:rPr>
      </w:pPr>
      <w:r w:rsidDel="00000000" w:rsidR="00000000" w:rsidRPr="00000000">
        <w:rPr>
          <w:rFonts w:ascii="Copse" w:cs="Copse" w:eastAsia="Copse" w:hAnsi="Copse"/>
          <w:sz w:val="20"/>
          <w:szCs w:val="20"/>
          <w:rtl w:val="0"/>
        </w:rPr>
        <w:t xml:space="preserve">Fill in PB levels with visual representations and text that will help you remember key ideas at each level.</w:t>
      </w:r>
    </w:p>
    <w:p w:rsidR="00000000" w:rsidDel="00000000" w:rsidP="00000000" w:rsidRDefault="00000000" w:rsidRPr="00000000" w14:paraId="00000005">
      <w:pPr>
        <w:numPr>
          <w:ilvl w:val="0"/>
          <w:numId w:val="1"/>
        </w:numPr>
        <w:ind w:left="720" w:hanging="360"/>
        <w:rPr>
          <w:rFonts w:ascii="Copse" w:cs="Copse" w:eastAsia="Copse" w:hAnsi="Copse"/>
          <w:sz w:val="20"/>
          <w:szCs w:val="20"/>
        </w:rPr>
      </w:pPr>
      <w:r w:rsidDel="00000000" w:rsidR="00000000" w:rsidRPr="00000000">
        <w:rPr>
          <w:rFonts w:ascii="Copse" w:cs="Copse" w:eastAsia="Copse" w:hAnsi="Copse"/>
          <w:sz w:val="20"/>
          <w:szCs w:val="20"/>
          <w:rtl w:val="0"/>
        </w:rPr>
        <w:t xml:space="preserve">What new learning occurs between each level? Add that to the bubble.</w:t>
      </w:r>
    </w:p>
    <w:p w:rsidR="00000000" w:rsidDel="00000000" w:rsidP="00000000" w:rsidRDefault="00000000" w:rsidRPr="00000000" w14:paraId="00000006">
      <w:pPr>
        <w:numPr>
          <w:ilvl w:val="0"/>
          <w:numId w:val="1"/>
        </w:numPr>
        <w:ind w:left="720" w:hanging="360"/>
        <w:rPr>
          <w:rFonts w:ascii="Copse" w:cs="Copse" w:eastAsia="Copse" w:hAnsi="Copse"/>
          <w:sz w:val="20"/>
          <w:szCs w:val="20"/>
          <w:u w:val="none"/>
        </w:rPr>
      </w:pPr>
      <w:r w:rsidDel="00000000" w:rsidR="00000000" w:rsidRPr="00000000">
        <w:rPr>
          <w:rFonts w:ascii="Copse" w:cs="Copse" w:eastAsia="Copse" w:hAnsi="Copse"/>
          <w:sz w:val="20"/>
          <w:szCs w:val="20"/>
          <w:rtl w:val="0"/>
        </w:rPr>
        <w:t xml:space="preserve">How does a level 3 understanding help students answer the Unit Question and figure out the Phenomenon?</w:t>
      </w:r>
    </w:p>
    <w:p w:rsidR="00000000" w:rsidDel="00000000" w:rsidP="00000000" w:rsidRDefault="00000000" w:rsidRPr="00000000" w14:paraId="00000007">
      <w:pPr>
        <w:ind w:left="720" w:firstLine="0"/>
        <w:rPr>
          <w:rFonts w:ascii="Copse" w:cs="Copse" w:eastAsia="Copse" w:hAnsi="Copse"/>
          <w:color w:val="666666"/>
          <w:sz w:val="32"/>
          <w:szCs w:val="32"/>
          <w:u w:val="single"/>
        </w:rPr>
      </w:pPr>
      <w:r w:rsidDel="00000000" w:rsidR="00000000" w:rsidRPr="00000000">
        <w:rPr>
          <w:rFonts w:ascii="Copse" w:cs="Copse" w:eastAsia="Copse" w:hAnsi="Copse"/>
          <w:sz w:val="20"/>
          <w:szCs w:val="20"/>
          <w:rtl w:val="0"/>
        </w:rPr>
        <w:t xml:space="preserve">                                                         </w:t>
      </w:r>
      <w:r w:rsidDel="00000000" w:rsidR="00000000" w:rsidRPr="00000000">
        <w:rPr>
          <w:rFonts w:ascii="Copse" w:cs="Copse" w:eastAsia="Copse" w:hAnsi="Copse"/>
          <w:sz w:val="32"/>
          <w:szCs w:val="32"/>
          <w:rtl w:val="0"/>
        </w:rPr>
        <w:t xml:space="preserve">Notes on the Progress Build</w:t>
      </w:r>
      <w:r w:rsidDel="00000000" w:rsidR="00000000" w:rsidRPr="00000000">
        <w:rPr>
          <w:rFonts w:ascii="Copse" w:cs="Copse" w:eastAsia="Copse" w:hAnsi="Copse"/>
          <w:color w:val="666666"/>
          <w:sz w:val="32"/>
          <w:szCs w:val="32"/>
          <w:u w:val="single"/>
        </w:rPr>
        <mc:AlternateContent>
          <mc:Choice Requires="wpg">
            <w:drawing>
              <wp:inline distB="114300" distT="114300" distL="114300" distR="114300">
                <wp:extent cx="5791200" cy="1228725"/>
                <wp:effectExtent b="0" l="0" r="0" t="0"/>
                <wp:docPr id="2" name=""/>
                <a:graphic>
                  <a:graphicData uri="http://schemas.microsoft.com/office/word/2010/wordprocessingShape">
                    <wps:wsp>
                      <wps:cNvSpPr/>
                      <wps:cNvPr id="8" name="Shape 8"/>
                      <wps:spPr>
                        <a:xfrm>
                          <a:off x="584275" y="1388850"/>
                          <a:ext cx="5775600" cy="1206900"/>
                        </a:xfrm>
                        <a:prstGeom prst="rect">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791200" cy="1228725"/>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91200" cy="12287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-166687</wp:posOffset>
                </wp:positionH>
                <wp:positionV relativeFrom="paragraph">
                  <wp:posOffset>304800</wp:posOffset>
                </wp:positionV>
                <wp:extent cx="6348413" cy="4361646"/>
                <wp:effectExtent b="0" l="0" r="0" t="0"/>
                <wp:wrapTopAndBottom distB="114300" distT="114300"/>
                <wp:docPr id="1" name=""/>
                <a:graphic>
                  <a:graphicData uri="http://schemas.microsoft.com/office/word/2010/wordprocessingGroup">
                    <wpg:wgp>
                      <wpg:cNvGrpSpPr/>
                      <wpg:grpSpPr>
                        <a:xfrm>
                          <a:off x="38325" y="431025"/>
                          <a:ext cx="6348413" cy="4361646"/>
                          <a:chOff x="38325" y="431025"/>
                          <a:chExt cx="6522775" cy="4473000"/>
                        </a:xfrm>
                      </wpg:grpSpPr>
                      <wps:wsp>
                        <wps:cNvSpPr/>
                        <wps:cNvPr id="2" name="Shape 2"/>
                        <wps:spPr>
                          <a:xfrm>
                            <a:off x="1973100" y="2250875"/>
                            <a:ext cx="2844900" cy="8142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r w:rsidDel="00000000" w:rsidR="00000000" w:rsidRPr="00000000">
                                <w:rPr>
                                  <w:rFonts w:ascii="Copse" w:cs="Copse" w:eastAsia="Copse" w:hAnsi="Copse"/>
                                  <w:b w:val="0"/>
                                  <w:i w:val="0"/>
                                  <w:smallCaps w:val="0"/>
                                  <w:strike w:val="0"/>
                                  <w:color w:val="666666"/>
                                  <w:sz w:val="24"/>
                                  <w:vertAlign w:val="baseline"/>
                                </w:rPr>
                                <w:t xml:space="preserve"> </w:t>
                              </w:r>
                            </w:p>
                          </w:txbxContent>
                        </wps:txbx>
                        <wps:bodyPr anchorCtr="0" anchor="ctr" bIns="91425" lIns="91425" spcFirstLastPara="1" rIns="91425" wrap="square" tIns="91425">
                          <a:noAutofit/>
                        </wps:bodyPr>
                      </wps:wsp>
                      <wps:wsp>
                        <wps:cNvSpPr/>
                        <wps:cNvPr id="3" name="Shape 3"/>
                        <wps:spPr>
                          <a:xfrm>
                            <a:off x="1628250" y="3065025"/>
                            <a:ext cx="3601500" cy="9195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2 -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8"/>
                                  <w:vertAlign w:val="baseline"/>
                                </w:rPr>
                              </w:r>
                            </w:p>
                          </w:txbxContent>
                        </wps:txbx>
                        <wps:bodyPr anchorCtr="0" anchor="ctr" bIns="91425" lIns="91425" spcFirstLastPara="1" rIns="91425" wrap="square" tIns="91425">
                          <a:noAutofit/>
                        </wps:bodyPr>
                      </wps:wsp>
                      <wps:wsp>
                        <wps:cNvSpPr/>
                        <wps:cNvPr id="4" name="Shape 4"/>
                        <wps:spPr>
                          <a:xfrm>
                            <a:off x="996125" y="3984525"/>
                            <a:ext cx="4722000" cy="919500"/>
                          </a:xfrm>
                          <a:prstGeom prst="roundRect">
                            <a:avLst>
                              <a:gd fmla="val 16667" name="adj"/>
                            </a:avLst>
                          </a:prstGeom>
                          <a:noFill/>
                          <a:ln cap="flat" cmpd="sng" w="28575">
                            <a:solidFill>
                              <a:srgbClr val="FF99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t xml:space="preserve">Level 1 -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pse" w:cs="Copse" w:eastAsia="Copse" w:hAnsi="Copse"/>
                                  <w:b w:val="0"/>
                                  <w:i w:val="0"/>
                                  <w:smallCaps w:val="0"/>
                                  <w:strike w:val="0"/>
                                  <w:color w:val="666666"/>
                                  <w:sz w:val="24"/>
                                  <w:vertAlign w:val="baseline"/>
                                </w:rPr>
                              </w:r>
                            </w:p>
                          </w:txbxContent>
                        </wps:txbx>
                        <wps:bodyPr anchorCtr="0" anchor="ctr" bIns="91425" lIns="91425" spcFirstLastPara="1" rIns="91425" wrap="square" tIns="91425">
                          <a:noAutofit/>
                        </wps:bodyPr>
                      </wps:wsp>
                      <wps:wsp>
                        <wps:cNvSpPr/>
                        <wps:cNvPr id="5" name="Shape 5"/>
                        <wps:spPr>
                          <a:xfrm>
                            <a:off x="38325" y="2748950"/>
                            <a:ext cx="1455900" cy="10821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What new ideas are added in Level 2?  How do those build and connect to the Level 1 ideas?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s:wsp>
                        <wps:cNvSpPr/>
                        <wps:cNvPr id="6" name="Shape 6"/>
                        <wps:spPr>
                          <a:xfrm>
                            <a:off x="4989400" y="1723400"/>
                            <a:ext cx="1571700" cy="10821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What new ideas are added in Level 3?  How do those build and connect to the Level 2 ideas?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s:wsp>
                        <wps:cNvSpPr/>
                        <wps:cNvPr id="7" name="Shape 7"/>
                        <wps:spPr>
                          <a:xfrm>
                            <a:off x="3906225" y="431025"/>
                            <a:ext cx="2127900" cy="996000"/>
                          </a:xfrm>
                          <a:prstGeom prst="wedgeRoundRectCallout">
                            <a:avLst>
                              <a:gd fmla="val -20833" name="adj1"/>
                              <a:gd fmla="val 62500" name="adj2"/>
                              <a:gd fmla="val 0" name="adj3"/>
                            </a:avLst>
                          </a:prstGeom>
                          <a:noFill/>
                          <a:ln cap="flat" cmpd="sng" w="28575">
                            <a:solidFill>
                              <a:srgbClr val="66666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How does a Level 3 understanding connect to the Unit Question?  The Unit Phenomenon?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-166687</wp:posOffset>
                </wp:positionH>
                <wp:positionV relativeFrom="paragraph">
                  <wp:posOffset>304800</wp:posOffset>
                </wp:positionV>
                <wp:extent cx="6348413" cy="4361646"/>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48413" cy="4361646"/>
                        </a:xfrm>
                        <a:prstGeom prst="rect"/>
                        <a:ln/>
                      </pic:spPr>
                    </pic:pic>
                  </a:graphicData>
                </a:graphic>
              </wp:anchor>
            </w:drawing>
          </mc:Fallback>
        </mc:AlternateContent>
      </w:r>
    </w:p>
    <w:p w:rsidR="00000000" w:rsidDel="00000000" w:rsidP="00000000" w:rsidRDefault="00000000" w:rsidRPr="00000000" w14:paraId="00000008">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Critical Juncture Assessments - Video Part 2</w:t>
      </w:r>
    </w:p>
    <w:p w:rsidR="00000000" w:rsidDel="00000000" w:rsidP="00000000" w:rsidRDefault="00000000" w:rsidRPr="00000000" w14:paraId="00000009">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(You can find these in the ASSESSMENT SYSTEM document or the EMBEDDED FORMATIVE ASSESSMENTS document on the unit landing page. The text of the assessment is in the EMBEDDED  FORMATIVE ASSESSMENTS document.)</w:t>
      </w:r>
    </w:p>
    <w:p w:rsidR="00000000" w:rsidDel="00000000" w:rsidP="00000000" w:rsidRDefault="00000000" w:rsidRPr="00000000" w14:paraId="0000000A">
      <w:pPr>
        <w:jc w:val="center"/>
        <w:rPr>
          <w:rFonts w:ascii="Copse" w:cs="Copse" w:eastAsia="Copse" w:hAnsi="Copse"/>
          <w:color w:val="666666"/>
          <w:sz w:val="32"/>
          <w:szCs w:val="32"/>
          <w:u w:val="singl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Assess what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What do students do in this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opse" w:cs="Copse" w:eastAsia="Copse" w:hAnsi="Copse"/>
                <w:color w:val="666666"/>
                <w:sz w:val="20"/>
                <w:szCs w:val="20"/>
                <w:u w:val="single"/>
              </w:rPr>
            </w:pPr>
            <w:r w:rsidDel="00000000" w:rsidR="00000000" w:rsidRPr="00000000">
              <w:rPr>
                <w:rFonts w:ascii="Copse" w:cs="Copse" w:eastAsia="Copse" w:hAnsi="Copse"/>
                <w:color w:val="666666"/>
                <w:sz w:val="20"/>
                <w:szCs w:val="20"/>
                <w:rtl w:val="0"/>
              </w:rPr>
              <w:t xml:space="preserve">Tailor instruction in what way?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2D">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E">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2F">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0">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1">
      <w:pPr>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2">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leading up to Critical Juncture 1</w:t>
      </w:r>
    </w:p>
    <w:p w:rsidR="00000000" w:rsidDel="00000000" w:rsidP="00000000" w:rsidRDefault="00000000" w:rsidRPr="00000000" w14:paraId="00000033">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full text of the On The Fly Assessments (OTFA) can be found in the Embedded Assessments document on the main unit page.</w:t>
      </w:r>
    </w:p>
    <w:p w:rsidR="00000000" w:rsidDel="00000000" w:rsidP="00000000" w:rsidRDefault="00000000" w:rsidRPr="00000000" w14:paraId="00000034">
      <w:pPr>
        <w:rPr>
          <w:rFonts w:ascii="Copse" w:cs="Copse" w:eastAsia="Copse" w:hAnsi="Copse"/>
          <w:color w:val="666666"/>
          <w:sz w:val="20"/>
          <w:szCs w:val="20"/>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56">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7">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8">
      <w:pPr>
        <w:jc w:val="center"/>
        <w:rPr>
          <w:rFonts w:ascii="Copse" w:cs="Copse" w:eastAsia="Copse" w:hAnsi="Copse"/>
          <w:color w:val="666666"/>
          <w:sz w:val="32"/>
          <w:szCs w:val="32"/>
        </w:rPr>
      </w:pPr>
      <w:r w:rsidDel="00000000" w:rsidR="00000000" w:rsidRPr="00000000">
        <w:rPr>
          <w:rFonts w:ascii="Copse" w:cs="Copse" w:eastAsia="Copse" w:hAnsi="Copse"/>
          <w:color w:val="666666"/>
          <w:sz w:val="32"/>
          <w:szCs w:val="32"/>
          <w:u w:val="single"/>
          <w:rtl w:val="0"/>
        </w:rPr>
        <w:t xml:space="preserve">On The Fly Assessments leading up to Critical Juncture 2</w:t>
      </w:r>
      <w:r w:rsidDel="00000000" w:rsidR="00000000" w:rsidRPr="00000000">
        <w:rPr>
          <w:rtl w:val="0"/>
        </w:rPr>
      </w:r>
    </w:p>
    <w:p w:rsidR="00000000" w:rsidDel="00000000" w:rsidP="00000000" w:rsidRDefault="00000000" w:rsidRPr="00000000" w14:paraId="00000059">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full text of the On The Fly Assessments (OTFA) can be found in the Embedded Assessments document on the main unit page.</w:t>
      </w:r>
    </w:p>
    <w:p w:rsidR="00000000" w:rsidDel="00000000" w:rsidP="00000000" w:rsidRDefault="00000000" w:rsidRPr="00000000" w14:paraId="0000005A">
      <w:pPr>
        <w:rPr>
          <w:rFonts w:ascii="Copse" w:cs="Copse" w:eastAsia="Copse" w:hAnsi="Copse"/>
          <w:color w:val="666666"/>
          <w:sz w:val="20"/>
          <w:szCs w:val="20"/>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5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1">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5">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7">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B">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C">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6D">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1">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2">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3">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9">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7C">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D">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E">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7F">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0">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leading up to Critical Juncture 3</w:t>
      </w:r>
    </w:p>
    <w:p w:rsidR="00000000" w:rsidDel="00000000" w:rsidP="00000000" w:rsidRDefault="00000000" w:rsidRPr="00000000" w14:paraId="00000081">
      <w:pPr>
        <w:rPr>
          <w:rFonts w:ascii="Copse" w:cs="Copse" w:eastAsia="Copse" w:hAnsi="Copse"/>
          <w:color w:val="666666"/>
          <w:sz w:val="32"/>
          <w:szCs w:val="32"/>
          <w:u w:val="single"/>
        </w:rPr>
      </w:pPr>
      <w:r w:rsidDel="00000000" w:rsidR="00000000" w:rsidRPr="00000000">
        <w:rPr>
          <w:rFonts w:ascii="Copse" w:cs="Copse" w:eastAsia="Copse" w:hAnsi="Copse"/>
          <w:color w:val="666666"/>
          <w:sz w:val="20"/>
          <w:szCs w:val="20"/>
          <w:rtl w:val="0"/>
        </w:rPr>
        <w:t xml:space="preserve">The full text of the On The Fly Assessments (OTFA) can be found in the Embedded Assessments document on the main unit page.</w:t>
      </w:r>
      <w:r w:rsidDel="00000000" w:rsidR="00000000" w:rsidRPr="00000000">
        <w:rPr>
          <w:rtl w:val="0"/>
        </w:rPr>
      </w:r>
    </w:p>
    <w:p w:rsidR="00000000" w:rsidDel="00000000" w:rsidP="00000000" w:rsidRDefault="00000000" w:rsidRPr="00000000" w14:paraId="00000082">
      <w:pPr>
        <w:jc w:val="center"/>
        <w:rPr>
          <w:rFonts w:ascii="Copse" w:cs="Copse" w:eastAsia="Copse" w:hAnsi="Copse"/>
          <w:color w:val="666666"/>
          <w:sz w:val="32"/>
          <w:szCs w:val="32"/>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7">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9">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D">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8F">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3">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4">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5">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9">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A">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B">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9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1">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A4">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5">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6">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7">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8">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On The Fly Assessments after Critical Juncture 3</w:t>
      </w:r>
    </w:p>
    <w:p w:rsidR="00000000" w:rsidDel="00000000" w:rsidP="00000000" w:rsidRDefault="00000000" w:rsidRPr="00000000" w14:paraId="000000A9">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full text of the On The Fly Assessments (OTFA) can be found in the Embedded Assessments document on the main unit page.</w:t>
      </w:r>
    </w:p>
    <w:p w:rsidR="00000000" w:rsidDel="00000000" w:rsidP="00000000" w:rsidRDefault="00000000" w:rsidRPr="00000000" w14:paraId="000000AA">
      <w:pPr>
        <w:jc w:val="center"/>
        <w:rPr>
          <w:rFonts w:ascii="Copse" w:cs="Copse" w:eastAsia="Copse" w:hAnsi="Copse"/>
          <w:color w:val="666666"/>
          <w:sz w:val="32"/>
          <w:szCs w:val="32"/>
          <w:u w:val="single"/>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Look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Now what?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AF">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0">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1">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5">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6">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7">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B">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C">
            <w:pPr>
              <w:widowControl w:val="0"/>
              <w:spacing w:line="240" w:lineRule="auto"/>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BD">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C0">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1">
      <w:pPr>
        <w:jc w:val="center"/>
        <w:rPr>
          <w:rFonts w:ascii="Copse" w:cs="Copse" w:eastAsia="Copse" w:hAnsi="Copse"/>
          <w:color w:val="666666"/>
          <w:sz w:val="32"/>
          <w:szCs w:val="32"/>
          <w:u w:val="single"/>
        </w:rPr>
      </w:pPr>
      <w:r w:rsidDel="00000000" w:rsidR="00000000" w:rsidRPr="00000000">
        <w:rPr>
          <w:rFonts w:ascii="Copse" w:cs="Copse" w:eastAsia="Copse" w:hAnsi="Copse"/>
          <w:color w:val="666666"/>
          <w:sz w:val="32"/>
          <w:szCs w:val="32"/>
          <w:u w:val="single"/>
          <w:rtl w:val="0"/>
        </w:rPr>
        <w:t xml:space="preserve">Chapter Self Assessments (Optional)</w:t>
      </w:r>
    </w:p>
    <w:p w:rsidR="00000000" w:rsidDel="00000000" w:rsidP="00000000" w:rsidRDefault="00000000" w:rsidRPr="00000000" w14:paraId="000000C2">
      <w:pPr>
        <w:rPr>
          <w:rFonts w:ascii="Copse" w:cs="Copse" w:eastAsia="Copse" w:hAnsi="Copse"/>
          <w:color w:val="666666"/>
          <w:sz w:val="20"/>
          <w:szCs w:val="20"/>
        </w:rPr>
      </w:pPr>
      <w:r w:rsidDel="00000000" w:rsidR="00000000" w:rsidRPr="00000000">
        <w:rPr>
          <w:rFonts w:ascii="Copse" w:cs="Copse" w:eastAsia="Copse" w:hAnsi="Copse"/>
          <w:color w:val="666666"/>
          <w:sz w:val="20"/>
          <w:szCs w:val="20"/>
          <w:rtl w:val="0"/>
        </w:rPr>
        <w:t xml:space="preserve">The chapter self assessments can be found in the Assessment System document on the unit landing page.</w:t>
      </w:r>
    </w:p>
    <w:p w:rsidR="00000000" w:rsidDel="00000000" w:rsidP="00000000" w:rsidRDefault="00000000" w:rsidRPr="00000000" w14:paraId="000000C3">
      <w:pPr>
        <w:jc w:val="center"/>
        <w:rPr>
          <w:rFonts w:ascii="Copse" w:cs="Copse" w:eastAsia="Copse" w:hAnsi="Copse"/>
          <w:color w:val="666666"/>
          <w:sz w:val="32"/>
          <w:szCs w:val="32"/>
          <w:u w:val="singl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rPr>
            </w:pPr>
            <w:r w:rsidDel="00000000" w:rsidR="00000000" w:rsidRPr="00000000">
              <w:rPr>
                <w:rFonts w:ascii="Copse" w:cs="Copse" w:eastAsia="Copse" w:hAnsi="Copse"/>
                <w:color w:val="666666"/>
                <w:sz w:val="32"/>
                <w:szCs w:val="32"/>
                <w:rtl w:val="0"/>
              </w:rPr>
              <w:t xml:space="preserve">Where is it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rPr>
            </w:pPr>
            <w:r w:rsidDel="00000000" w:rsidR="00000000" w:rsidRPr="00000000">
              <w:rPr>
                <w:rFonts w:ascii="Copse" w:cs="Copse" w:eastAsia="Copse" w:hAnsi="Copse"/>
                <w:color w:val="666666"/>
                <w:sz w:val="32"/>
                <w:szCs w:val="32"/>
                <w:rtl w:val="0"/>
              </w:rPr>
              <w:t xml:space="preserve">What is it reflecting upon?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pse" w:cs="Copse" w:eastAsia="Copse" w:hAnsi="Copse"/>
                <w:color w:val="666666"/>
                <w:sz w:val="32"/>
                <w:szCs w:val="32"/>
                <w:u w:val="single"/>
              </w:rPr>
            </w:pPr>
            <w:r w:rsidDel="00000000" w:rsidR="00000000" w:rsidRPr="00000000">
              <w:rPr>
                <w:rtl w:val="0"/>
              </w:rPr>
            </w:r>
          </w:p>
        </w:tc>
      </w:tr>
    </w:tbl>
    <w:p w:rsidR="00000000" w:rsidDel="00000000" w:rsidP="00000000" w:rsidRDefault="00000000" w:rsidRPr="00000000" w14:paraId="000000CE">
      <w:pPr>
        <w:jc w:val="center"/>
        <w:rPr>
          <w:rFonts w:ascii="Copse" w:cs="Copse" w:eastAsia="Copse" w:hAnsi="Copse"/>
          <w:color w:val="666666"/>
          <w:sz w:val="32"/>
          <w:szCs w:val="32"/>
          <w:u w:val="single"/>
        </w:rPr>
      </w:pPr>
      <w:r w:rsidDel="00000000" w:rsidR="00000000" w:rsidRPr="00000000">
        <w:rPr>
          <w:rtl w:val="0"/>
        </w:rPr>
      </w:r>
    </w:p>
    <w:p w:rsidR="00000000" w:rsidDel="00000000" w:rsidP="00000000" w:rsidRDefault="00000000" w:rsidRPr="00000000" w14:paraId="000000CF">
      <w:pPr>
        <w:jc w:val="center"/>
        <w:rPr>
          <w:rFonts w:ascii="Copse" w:cs="Copse" w:eastAsia="Copse" w:hAnsi="Copse"/>
          <w:color w:val="666666"/>
          <w:sz w:val="32"/>
          <w:szCs w:val="32"/>
          <w:u w:val="singl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