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and evaluate the effectiveness of the structure an author uses in his or her exposition or argument.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Effectiveness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Exposition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Argument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Evaluate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structure of an exposition.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structure of an argument.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claims of an argument.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Evaluate the effectiveness of the structure of an exposition.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Evaluate the effectiveness of the structure of an argument.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evaluate the effectiveness of the structure an author uses in an exposition.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evaluate the effectiveness of the structure an author uses in an argument.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 an author uses in an exposition.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the effectiveness of the structure an author uses in an exposition.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 an author uses in an argument.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the effectiveness of the structure an author uses in an argument.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text evidence.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