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RI 1.8 Identify the claim and the reasons an author gives to support the claim in a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claim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reasons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author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identify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With prompting and support…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the author wants the reader to accept the claim as true (or an idea from the writing)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Understand that the author provides reasons (evidence) to support the claim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claim made by the author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reasons the author gives to support the claim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ways the author makes his reasons clear (lays foundation for future)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claim made by the author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reasons the author gives to support the claim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Identify the ways the author makes his reasons clear (lays foundation for future)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claim: what the author wants a reader to accept as true. The author must, therefore, provide the reader with evidence so they can decide whether the claim is valid, logical, and verifiable.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Informational-persuade, inform, entertain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Ways author convince reader of claim and reasons (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(“tricks of persuasion”--Seravallo, p. 244; examples, illustrations, comparisons, etc.) (goes with RI.K.3)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identify the author’s claim and reasons to support it.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claim the author makes.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tell the reasons the author gives to support the claim.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reasons the author makes.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identify the author’s claim and the reasons to support it.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