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50.0" w:type="dxa"/>
        <w:jc w:val="left"/>
        <w:tblInd w:w="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5"/>
        <w:gridCol w:w="7155"/>
        <w:tblGridChange w:id="0">
          <w:tblGrid>
            <w:gridCol w:w="7095"/>
            <w:gridCol w:w="7155"/>
          </w:tblGrid>
        </w:tblGridChange>
      </w:tblGrid>
      <w:tr>
        <w:trPr>
          <w:trHeight w:val="30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KY.5.NF.1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Efficiently add and subtract fractions with unlike denominators (including mixed numbers) by… 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727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● using reasoning strategies, such as counting up on a number line or creating visual fraction models 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727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● finding common denominators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unlike denominators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mixed numbers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reasoning strategies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number line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visual fraction model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common denominators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add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subtract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using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counting up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creating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finding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Prerequisites: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list multiples of a number.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Generate equivalent fractions using area models, number lines, multiplication, and division.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Add and subtract fractions, including mixed numbers, with like denominators. </w:t>
            </w:r>
          </w:p>
          <w:p w:rsidR="00000000" w:rsidDel="00000000" w:rsidP="00000000" w:rsidRDefault="00000000" w:rsidRPr="00000000" w14:paraId="0000001D">
            <w:pPr>
              <w:spacing w:after="0" w:line="276" w:lineRule="auto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hands-on materials to create visual fraction models of adding and subtracting fractions, including mixed numbers, with unlike denominators.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drawings to show how to find common denominators when adding and subtracting fractions, including mixed numbers, with unlike denominators.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Generate common denominators using multiplication and/or division.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reasoning strategies to add and subtract fractions, including mixed numbers, with unlike denominators.</w:t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ind w:left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Clarifications: </w:t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095625" cy="5619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561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KY.4.NF.3 (KY.4.NF.1) → KY.5.NF.1→KY.6.EE.7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720"/>
              <w:rPr>
                <w:rFonts w:ascii="Century Gothic" w:cs="Century Gothic" w:eastAsia="Century Gothic" w:hAnsi="Century Gothic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rPr>
          <w:trHeight w:val="4660" w:hRule="atLeast"/>
        </w:trPr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Efficiently add and subtract fractions, including mixed numbers, with unlike denominators. 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82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generate equivalent fractions for a given fraction.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82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find common denominators for fractions with unlike denominators.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82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add fractions with unlike denominators.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82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subtract fractions with unlike denominators.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82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generate equivalent fractions to add and subtract to add and subtract fractions with unlike denominators.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82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add mixed numbers using models.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82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add mixed numbers.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82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models to subtract mixed numbers.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82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subtract mixed numbers.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282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add and subtract mixed numbers. 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DF4FD4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D432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x72q/Z3ucmBvCiyxQuFXwd3YQ==">AMUW2mW/TyFaTbu/nHUxYUaiaqUWKrLAND/Esf31lKJbn7xuCV3yG78P+u3WF3UEg9PEc3JBNkJvzuKM3wZVlp6t4bTBno/6LZ3nnxkNJ/B3J8+ifDlLH5ryHszq8EZkS4bIHnoztrha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2020-03-16T18:13:00Z</dcterms:created>
  <dc:creator>Hickman, Jennifer</dc:creator>
</cp:coreProperties>
</file>