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250.0" w:type="dxa"/>
        <w:jc w:val="left"/>
        <w:tblInd w:w="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7155"/>
        <w:tblGridChange w:id="0">
          <w:tblGrid>
            <w:gridCol w:w="7095"/>
            <w:gridCol w:w="7155"/>
          </w:tblGrid>
        </w:tblGridChange>
      </w:tblGrid>
      <w:tr>
        <w:trPr>
          <w:trHeight w:val="300" w:hRule="atLeast"/>
        </w:trPr>
        <w:tc>
          <w:tcPr>
            <w:gridSpan w:val="2"/>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w:t>
            </w:r>
          </w:p>
        </w:tc>
      </w:tr>
      <w:tr>
        <w:tc>
          <w:tcPr>
            <w:gridSpan w:val="2"/>
          </w:tcPr>
          <w:p w:rsidR="00000000" w:rsidDel="00000000" w:rsidP="00000000" w:rsidRDefault="00000000" w:rsidRPr="00000000" w14:paraId="00000004">
            <w:pPr>
              <w:spacing w:after="0" w:line="240" w:lineRule="auto"/>
              <w:rPr>
                <w:rFonts w:ascii="Century Gothic" w:cs="Century Gothic" w:eastAsia="Century Gothic" w:hAnsi="Century Gothic"/>
                <w:sz w:val="24"/>
                <w:szCs w:val="24"/>
              </w:rPr>
            </w:pPr>
            <w:bookmarkStart w:colFirst="0" w:colLast="0" w:name="_heading=h.30j0zll" w:id="0"/>
            <w:bookmarkEnd w:id="0"/>
            <w:r w:rsidDel="00000000" w:rsidR="00000000" w:rsidRPr="00000000">
              <w:rPr>
                <w:rFonts w:ascii="Century Gothic" w:cs="Century Gothic" w:eastAsia="Century Gothic" w:hAnsi="Century Gothic"/>
                <w:b w:val="1"/>
                <w:sz w:val="24"/>
                <w:szCs w:val="24"/>
                <w:rtl w:val="0"/>
              </w:rPr>
              <w:t xml:space="preserve">Standard KY.5.MD.4 </w:t>
            </w:r>
            <w:r w:rsidDel="00000000" w:rsidR="00000000" w:rsidRPr="00000000">
              <w:rPr>
                <w:rFonts w:ascii="Century Gothic" w:cs="Century Gothic" w:eastAsia="Century Gothic" w:hAnsi="Century Gothic"/>
                <w:sz w:val="24"/>
                <w:szCs w:val="24"/>
                <w:rtl w:val="0"/>
              </w:rPr>
              <w:t xml:space="preserve">Measure volumes by counting unit cubic cm, cubic in, cubic ft. and improvised units.</w:t>
            </w:r>
          </w:p>
        </w:tc>
      </w:tr>
      <w:tr>
        <w:trPr>
          <w:trHeight w:val="220" w:hRule="atLeast"/>
        </w:trPr>
        <w:tc>
          <w:tcPr/>
          <w:p w:rsidR="00000000" w:rsidDel="00000000" w:rsidP="00000000" w:rsidRDefault="00000000" w:rsidRPr="00000000" w14:paraId="00000006">
            <w:pPr>
              <w:keepLines w:val="1"/>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7">
            <w:pPr>
              <w:keepLines w:val="1"/>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volumes</w:t>
            </w:r>
          </w:p>
          <w:p w:rsidR="00000000" w:rsidDel="00000000" w:rsidP="00000000" w:rsidRDefault="00000000" w:rsidRPr="00000000" w14:paraId="00000008">
            <w:pPr>
              <w:keepLines w:val="1"/>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units (cubic cm, cubic in, cubic ft., improvised units)</w:t>
            </w:r>
          </w:p>
        </w:tc>
        <w:tc>
          <w:tcPr/>
          <w:p w:rsidR="00000000" w:rsidDel="00000000" w:rsidP="00000000" w:rsidRDefault="00000000" w:rsidRPr="00000000" w14:paraId="00000009">
            <w:pPr>
              <w:keepLines w:val="1"/>
              <w:widowControl w:val="0"/>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0A">
            <w:pPr>
              <w:keepLines w:val="1"/>
              <w:widowControl w:val="0"/>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measure</w:t>
            </w:r>
          </w:p>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counting</w:t>
            </w:r>
          </w:p>
        </w:tc>
      </w:tr>
      <w:tr>
        <w:trPr>
          <w:trHeight w:val="220" w:hRule="atLeast"/>
        </w:trPr>
        <w:tc>
          <w:tcPr>
            <w:gridSpan w:val="2"/>
          </w:tcPr>
          <w:p w:rsidR="00000000" w:rsidDel="00000000" w:rsidP="00000000" w:rsidRDefault="00000000" w:rsidRPr="00000000" w14:paraId="0000000C">
            <w:pPr>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 </w:t>
            </w:r>
          </w:p>
          <w:p w:rsidR="00000000" w:rsidDel="00000000" w:rsidP="00000000" w:rsidRDefault="00000000" w:rsidRPr="00000000" w14:paraId="0000000D">
            <w:pPr>
              <w:spacing w:line="240"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Prerequisite: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7"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Measure areas by counting unit squares (square cm, square m, square in, square ft. </w:t>
            </w:r>
            <w:r w:rsidDel="00000000" w:rsidR="00000000" w:rsidRPr="00000000">
              <w:rPr>
                <w:rFonts w:ascii="Century Gothic" w:cs="Century Gothic" w:eastAsia="Century Gothic" w:hAnsi="Century Gothic"/>
                <w:sz w:val="24"/>
                <w:szCs w:val="24"/>
                <w:rtl w:val="0"/>
              </w:rPr>
              <w:t xml:space="preserve">etc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7" w:right="0" w:hanging="72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Grade Level Skills: </w:t>
            </w:r>
          </w:p>
          <w:p w:rsidR="00000000" w:rsidDel="00000000" w:rsidP="00000000" w:rsidRDefault="00000000" w:rsidRPr="00000000" w14:paraId="00000011">
            <w:pPr>
              <w:numPr>
                <w:ilvl w:val="0"/>
                <w:numId w:val="3"/>
              </w:numPr>
              <w:spacing w:after="0"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Use hands-on manipulatives (unit cubes) to recognize volume as an attribute of three-dimensional space. </w:t>
            </w:r>
          </w:p>
          <w:p w:rsidR="00000000" w:rsidDel="00000000" w:rsidP="00000000" w:rsidRDefault="00000000" w:rsidRPr="00000000" w14:paraId="00000012">
            <w:pPr>
              <w:numPr>
                <w:ilvl w:val="0"/>
                <w:numId w:val="3"/>
              </w:numPr>
              <w:spacing w:after="0" w:line="276"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Understand that volume can be measured by finding the total number of same-sized units required to fill the inside space without gaps or overlaps. </w:t>
            </w:r>
          </w:p>
          <w:p w:rsidR="00000000" w:rsidDel="00000000" w:rsidP="00000000" w:rsidRDefault="00000000" w:rsidRPr="00000000" w14:paraId="00000013">
            <w:pPr>
              <w:numPr>
                <w:ilvl w:val="0"/>
                <w:numId w:val="3"/>
              </w:numPr>
              <w:spacing w:after="0" w:line="276" w:lineRule="auto"/>
              <w:ind w:left="720" w:hanging="360"/>
              <w:rPr>
                <w:rFonts w:ascii="Century Gothic" w:cs="Century Gothic" w:eastAsia="Century Gothic" w:hAnsi="Century Gothic"/>
                <w:sz w:val="24"/>
                <w:szCs w:val="24"/>
              </w:rPr>
            </w:pPr>
            <w:bookmarkStart w:colFirst="0" w:colLast="0" w:name="_heading=h.gjdgxs" w:id="1"/>
            <w:bookmarkEnd w:id="1"/>
            <w:r w:rsidDel="00000000" w:rsidR="00000000" w:rsidRPr="00000000">
              <w:rPr>
                <w:rFonts w:ascii="Century Gothic" w:cs="Century Gothic" w:eastAsia="Century Gothic" w:hAnsi="Century Gothic"/>
                <w:sz w:val="24"/>
                <w:szCs w:val="24"/>
                <w:rtl w:val="0"/>
              </w:rPr>
              <w:t xml:space="preserve">Measure volume by counting cubes (hands-on manipulatives and visual models). </w:t>
            </w:r>
          </w:p>
          <w:p w:rsidR="00000000" w:rsidDel="00000000" w:rsidP="00000000" w:rsidRDefault="00000000" w:rsidRPr="00000000" w14:paraId="00000014">
            <w:pPr>
              <w:spacing w:after="0" w:line="276" w:lineRule="auto"/>
              <w:ind w:left="720"/>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5">
            <w:pPr>
              <w:spacing w:after="0" w:line="276" w:lineRule="auto"/>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Clarifications: </w:t>
            </w:r>
          </w:p>
          <w:p w:rsidR="00000000" w:rsidDel="00000000" w:rsidP="00000000" w:rsidRDefault="00000000" w:rsidRPr="00000000" w14:paraId="00000016">
            <w:pPr>
              <w:spacing w:after="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Students use cubes to cover a bottom layer of a rectangular prism, understanding cube as a unit cube.  As students place layers to fill the rectangular solid, they notice the number of cubes in each layer can be found by multiplying (number of cubes in one row) x (number of rows) and this product (the base) can be multiplied by how many layers to determine how may unit cubes will fill the container. Students connect this idea to the formulas for volume. </w:t>
            </w:r>
          </w:p>
          <w:p w:rsidR="00000000" w:rsidDel="00000000" w:rsidP="00000000" w:rsidRDefault="00000000" w:rsidRPr="00000000" w14:paraId="00000017">
            <w:pPr>
              <w:spacing w:after="0" w:line="276"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8">
            <w:pPr>
              <w:spacing w:after="0"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KY.3.MD.6 </w:t>
            </w:r>
            <w:r w:rsidDel="00000000" w:rsidR="00000000" w:rsidRPr="00000000">
              <w:rPr>
                <w:rFonts w:ascii="Wingdings" w:cs="Wingdings" w:eastAsia="Wingdings" w:hAnsi="Wingdings"/>
                <w:sz w:val="24"/>
                <w:szCs w:val="24"/>
                <w:rtl w:val="0"/>
              </w:rPr>
              <w:t xml:space="preserve">🡪</w:t>
            </w:r>
            <w:r w:rsidDel="00000000" w:rsidR="00000000" w:rsidRPr="00000000">
              <w:rPr>
                <w:rFonts w:ascii="Century Gothic" w:cs="Century Gothic" w:eastAsia="Century Gothic" w:hAnsi="Century Gothic"/>
                <w:sz w:val="24"/>
                <w:szCs w:val="24"/>
                <w:rtl w:val="0"/>
              </w:rPr>
              <w:t xml:space="preserve"> KY.5.MD.4 </w:t>
            </w:r>
          </w:p>
          <w:p w:rsidR="00000000" w:rsidDel="00000000" w:rsidP="00000000" w:rsidRDefault="00000000" w:rsidRPr="00000000" w14:paraId="00000019">
            <w:pPr>
              <w:spacing w:line="276" w:lineRule="auto"/>
              <w:ind w:left="720"/>
              <w:rPr>
                <w:rFonts w:ascii="Century Gothic" w:cs="Century Gothic" w:eastAsia="Century Gothic" w:hAnsi="Century Gothic"/>
                <w:sz w:val="4"/>
                <w:szCs w:val="4"/>
              </w:rPr>
            </w:pPr>
            <w:r w:rsidDel="00000000" w:rsidR="00000000" w:rsidRPr="00000000">
              <w:rPr>
                <w:rtl w:val="0"/>
              </w:rPr>
            </w:r>
          </w:p>
        </w:tc>
      </w:tr>
      <w:tr>
        <w:tc>
          <w:tcPr>
            <w:shd w:fill="f2f2f2" w:val="clear"/>
          </w:tcPr>
          <w:p w:rsidR="00000000" w:rsidDel="00000000" w:rsidP="00000000" w:rsidRDefault="00000000" w:rsidRPr="00000000" w14:paraId="0000001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shd w:fill="f2f2f2" w:val="clear"/>
          </w:tcPr>
          <w:p w:rsidR="00000000" w:rsidDel="00000000" w:rsidP="00000000" w:rsidRDefault="00000000" w:rsidRPr="00000000" w14:paraId="0000001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rPr>
          <w:trHeight w:val="1350" w:hRule="atLeast"/>
        </w:trPr>
        <w:tc>
          <w:tcPr/>
          <w:p w:rsidR="00000000" w:rsidDel="00000000" w:rsidP="00000000" w:rsidRDefault="00000000" w:rsidRPr="00000000" w14:paraId="0000001D">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Measure the volume of solid figures. </w:t>
            </w:r>
          </w:p>
        </w:tc>
        <w:tc>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282"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can count unit cubes to find the </w:t>
            </w:r>
            <w:r w:rsidDel="00000000" w:rsidR="00000000" w:rsidRPr="00000000">
              <w:rPr>
                <w:rFonts w:ascii="Century Gothic" w:cs="Century Gothic" w:eastAsia="Century Gothic" w:hAnsi="Century Gothic"/>
                <w:sz w:val="24"/>
                <w:szCs w:val="24"/>
                <w:rtl w:val="0"/>
              </w:rPr>
              <w:t xml:space="preserve">amount of space inside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 three-dimensional </w:t>
            </w:r>
            <w:r w:rsidDel="00000000" w:rsidR="00000000" w:rsidRPr="00000000">
              <w:rPr>
                <w:rFonts w:ascii="Century Gothic" w:cs="Century Gothic" w:eastAsia="Century Gothic" w:hAnsi="Century Gothic"/>
                <w:sz w:val="24"/>
                <w:szCs w:val="24"/>
                <w:rtl w:val="0"/>
              </w:rPr>
              <w:t xml:space="preserve">figure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F">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778B5"/>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778B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doGWBh9aSkzu4Yxyo/jdGFSvQ==">AMUW2mV+jYuTdmpXI1dYdQFr4afBdV0d4SKm8WZG93c1F87Xu7VHgb6X+3Uqpf86bGN8shwP6GT+Ly36MbNwuUiiHpVfPLG4NszDoNNl3cGcgULIseizHreJC9Ew90YYZ4ZmLtoVuxTu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2020-03-17T14:10:00Z</dcterms:created>
  <dc:creator>Hickman, Jennifer</dc:creator>
</cp:coreProperties>
</file>